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b/>
          <w:sz w:val="24"/>
          <w:szCs w:val="24"/>
        </w:rPr>
      </w:pPr>
      <w:bookmarkStart w:id="0" w:name="_GoBack"/>
      <w:bookmarkEnd w:id="0"/>
      <w:r w:rsidRPr="00CF1947">
        <w:rPr>
          <w:rFonts w:cs="Times-Roman"/>
          <w:b/>
          <w:sz w:val="24"/>
          <w:szCs w:val="24"/>
        </w:rPr>
        <w:t>TABELA DE CUSTAS E HONORÁRIOS DOS ÁRBITROS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24"/>
          <w:szCs w:val="24"/>
        </w:rPr>
      </w:pP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24"/>
          <w:szCs w:val="24"/>
        </w:rPr>
      </w:pPr>
      <w:r w:rsidRPr="00CF1947">
        <w:rPr>
          <w:rFonts w:cs="Times-Bold"/>
          <w:b/>
          <w:bCs/>
          <w:sz w:val="24"/>
          <w:szCs w:val="24"/>
        </w:rPr>
        <w:t>Art. 1º - Taxa de Registro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1.1. A notificação para instaurar o procedimento arbitral prevista no art.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 xml:space="preserve">4.1 do Regulamento de Mediação e Arbitragem </w:t>
      </w:r>
      <w:proofErr w:type="gramStart"/>
      <w:r w:rsidRPr="00CF1947">
        <w:rPr>
          <w:rFonts w:cs="Times-Roman"/>
          <w:sz w:val="24"/>
          <w:szCs w:val="24"/>
        </w:rPr>
        <w:t>será</w:t>
      </w:r>
      <w:proofErr w:type="gramEnd"/>
      <w:r w:rsidRPr="00CF1947">
        <w:rPr>
          <w:rFonts w:cs="Times-Roman"/>
          <w:sz w:val="24"/>
          <w:szCs w:val="24"/>
        </w:rPr>
        <w:t xml:space="preserve"> acompanhada do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proofErr w:type="gramStart"/>
      <w:r w:rsidRPr="00CF1947">
        <w:rPr>
          <w:rFonts w:cs="Times-Roman"/>
          <w:sz w:val="24"/>
          <w:szCs w:val="24"/>
        </w:rPr>
        <w:t>recolhimento</w:t>
      </w:r>
      <w:proofErr w:type="gramEnd"/>
      <w:r w:rsidRPr="00CF1947">
        <w:rPr>
          <w:rFonts w:cs="Times-Roman"/>
          <w:sz w:val="24"/>
          <w:szCs w:val="24"/>
        </w:rPr>
        <w:t xml:space="preserve"> da taxa de registro, através de guia emitida pela secretaria da CAIEP, na quanti</w:t>
      </w:r>
      <w:r w:rsidR="00CF1947" w:rsidRPr="00CF1947">
        <w:rPr>
          <w:rFonts w:cs="Times-Roman"/>
          <w:sz w:val="24"/>
          <w:szCs w:val="24"/>
        </w:rPr>
        <w:t>a fixa fixada no quadro abaixo: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noProof/>
          <w:sz w:val="24"/>
          <w:szCs w:val="24"/>
          <w:lang w:eastAsia="pt-BR"/>
        </w:rPr>
        <w:drawing>
          <wp:inline distT="0" distB="0" distL="0" distR="0" wp14:anchorId="4E09FAD3" wp14:editId="6FE84C36">
            <wp:extent cx="5391150" cy="1190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1.2. Não existindo valor definido do litígio, a CAIEP fixará o valor a ser</w:t>
      </w:r>
      <w:r w:rsidR="00D47EDF">
        <w:rPr>
          <w:rFonts w:cs="Times-Roman"/>
          <w:sz w:val="24"/>
          <w:szCs w:val="24"/>
        </w:rPr>
        <w:t xml:space="preserve"> recolhido a título </w:t>
      </w:r>
      <w:r w:rsidRPr="00CF1947">
        <w:rPr>
          <w:rFonts w:cs="Times-Roman"/>
          <w:sz w:val="24"/>
          <w:szCs w:val="24"/>
        </w:rPr>
        <w:t>de taxa de registro.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24"/>
          <w:szCs w:val="24"/>
        </w:rPr>
      </w:pPr>
      <w:r w:rsidRPr="00CF1947">
        <w:rPr>
          <w:rFonts w:cs="Times-Bold"/>
          <w:b/>
          <w:bCs/>
          <w:sz w:val="24"/>
          <w:szCs w:val="24"/>
        </w:rPr>
        <w:t>Artigo 2º - Taxa de Administração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2.1. A taxa de administração será calculada no percentual de 2% (dois por cento) sobre o valor da demanda, sendo limitada ao valor máximo de R$75.000,00.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2.2. As partes demandante e demandada recolherão a taxa de</w:t>
      </w:r>
      <w:r w:rsidR="00D47EDF">
        <w:rPr>
          <w:rFonts w:cs="Times-Roman"/>
          <w:sz w:val="24"/>
          <w:szCs w:val="24"/>
        </w:rPr>
        <w:t xml:space="preserve"> administração, na </w:t>
      </w:r>
      <w:r w:rsidRPr="00CF1947">
        <w:rPr>
          <w:rFonts w:cs="Times-Roman"/>
          <w:sz w:val="24"/>
          <w:szCs w:val="24"/>
        </w:rPr>
        <w:t>proporção de 50% (</w:t>
      </w:r>
      <w:proofErr w:type="spellStart"/>
      <w:r w:rsidRPr="00CF1947">
        <w:rPr>
          <w:rFonts w:cs="Times-Roman"/>
          <w:sz w:val="24"/>
          <w:szCs w:val="24"/>
        </w:rPr>
        <w:t>cinqüenta</w:t>
      </w:r>
      <w:proofErr w:type="spellEnd"/>
      <w:r w:rsidRPr="00CF1947">
        <w:rPr>
          <w:rFonts w:cs="Times-Roman"/>
          <w:sz w:val="24"/>
          <w:szCs w:val="24"/>
        </w:rPr>
        <w:t xml:space="preserve"> por cento) para cada uma, no momento da assinatura do Termo de Arbitragem, salvo convenção expressa em contrário das partes.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2.3. Não existindo valor definido para a demanda, a CAIEP arbitrará o</w:t>
      </w:r>
      <w:r w:rsidR="00D47EDF">
        <w:rPr>
          <w:rFonts w:cs="Times-Roman"/>
          <w:sz w:val="24"/>
          <w:szCs w:val="24"/>
        </w:rPr>
        <w:t xml:space="preserve"> valor a ser </w:t>
      </w:r>
      <w:r w:rsidRPr="00CF1947">
        <w:rPr>
          <w:rFonts w:cs="Times-Roman"/>
          <w:sz w:val="24"/>
          <w:szCs w:val="24"/>
        </w:rPr>
        <w:t>recolhido a título de taxa de administração.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24"/>
          <w:szCs w:val="24"/>
        </w:rPr>
      </w:pPr>
      <w:r w:rsidRPr="00CF1947">
        <w:rPr>
          <w:rFonts w:cs="Times-Bold"/>
          <w:b/>
          <w:bCs/>
          <w:sz w:val="24"/>
          <w:szCs w:val="24"/>
        </w:rPr>
        <w:t>Artigo 3º - Honorários dos Árbitros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3.1. Os montantes referentes aos honorários do(s) árbitro(s) serão depositados por ambas as partes, na forma abaixo discriminada.</w:t>
      </w:r>
    </w:p>
    <w:p w:rsidR="00EC4FCC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3.2. No momento da assinatura do Termo de Arbitragem, as partes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depositarão junto à CAIEP 50% (</w:t>
      </w:r>
      <w:proofErr w:type="spellStart"/>
      <w:r w:rsidRPr="00CF1947">
        <w:rPr>
          <w:rFonts w:cs="Times-Roman"/>
          <w:sz w:val="24"/>
          <w:szCs w:val="24"/>
        </w:rPr>
        <w:t>cinqüenta</w:t>
      </w:r>
      <w:proofErr w:type="spellEnd"/>
      <w:r w:rsidRPr="00CF1947">
        <w:rPr>
          <w:rFonts w:cs="Times-Roman"/>
          <w:sz w:val="24"/>
          <w:szCs w:val="24"/>
        </w:rPr>
        <w:t xml:space="preserve"> por cento) do montante de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honorários estimado pela CAIEP, considerando o número de árbitros, a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complexidade da matéria, o tempo estimado necessário para decidir o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processo arbitral, a urgência do caso concreto e qualquer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outra</w:t>
      </w:r>
      <w:r w:rsidR="00D47EDF">
        <w:rPr>
          <w:rFonts w:cs="Times-Roman"/>
          <w:sz w:val="24"/>
          <w:szCs w:val="24"/>
        </w:rPr>
        <w:t xml:space="preserve"> circunstância </w:t>
      </w:r>
      <w:r w:rsidRPr="00CF1947">
        <w:rPr>
          <w:rFonts w:cs="Times-Roman"/>
          <w:sz w:val="24"/>
          <w:szCs w:val="24"/>
        </w:rPr>
        <w:t xml:space="preserve">pertinente. A quantia será rateada entre as partes em partes </w:t>
      </w:r>
      <w:r w:rsidRPr="00CF1947">
        <w:rPr>
          <w:rFonts w:cs="Times-Roman"/>
          <w:sz w:val="24"/>
          <w:szCs w:val="24"/>
        </w:rPr>
        <w:lastRenderedPageBreak/>
        <w:t>iguais, salvo acordo das partes em contrário, expedindo-se a respectiva guia de recolhimento pela CAIEP.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3.3. Os honorários dos árbitros serão fixados pela CAIEP, considerando-se os valores de R$ 250,00 a R$450,00 por hora para cada árbi</w:t>
      </w:r>
      <w:r w:rsidR="00D47EDF">
        <w:rPr>
          <w:rFonts w:cs="Times-Roman"/>
          <w:sz w:val="24"/>
          <w:szCs w:val="24"/>
        </w:rPr>
        <w:t xml:space="preserve">tro e tendo em conta os limites </w:t>
      </w:r>
      <w:r w:rsidRPr="00CF1947">
        <w:rPr>
          <w:rFonts w:cs="Times-Roman"/>
          <w:sz w:val="24"/>
          <w:szCs w:val="24"/>
        </w:rPr>
        <w:t>individuais, por árbitro, fixados no quadro a seguir.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noProof/>
          <w:sz w:val="24"/>
          <w:szCs w:val="24"/>
          <w:lang w:eastAsia="pt-BR"/>
        </w:rPr>
        <w:drawing>
          <wp:inline distT="0" distB="0" distL="0" distR="0" wp14:anchorId="3DC0B279" wp14:editId="248B935E">
            <wp:extent cx="5391150" cy="2581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3.4. Os honorários dos árbitros serão pagos mensalmente, segundo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relatório de horas trabalhadas, com base no depósito inicial das partes.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 xml:space="preserve">Antes da prolação da sentença arbitral, o(s) árbitro(s) </w:t>
      </w:r>
      <w:proofErr w:type="gramStart"/>
      <w:r w:rsidRPr="00CF1947">
        <w:rPr>
          <w:rFonts w:cs="Times-Roman"/>
          <w:sz w:val="24"/>
          <w:szCs w:val="24"/>
        </w:rPr>
        <w:t>apresentarão</w:t>
      </w:r>
      <w:proofErr w:type="gramEnd"/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relatório consolidado de horas trabalhadas, que será considerado pela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CAIEP, determinando-s</w:t>
      </w:r>
      <w:r w:rsidR="00D47EDF">
        <w:rPr>
          <w:rFonts w:cs="Times-Roman"/>
          <w:sz w:val="24"/>
          <w:szCs w:val="24"/>
        </w:rPr>
        <w:t xml:space="preserve">e às partes a complementação do </w:t>
      </w:r>
      <w:r w:rsidRPr="00CF1947">
        <w:rPr>
          <w:rFonts w:cs="Times-Roman"/>
          <w:sz w:val="24"/>
          <w:szCs w:val="24"/>
        </w:rPr>
        <w:t>depósito se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 xml:space="preserve">necessário. Ao final do processo arbitral, o(s) árbitro(s) </w:t>
      </w:r>
      <w:proofErr w:type="gramStart"/>
      <w:r w:rsidRPr="00CF1947">
        <w:rPr>
          <w:rFonts w:cs="Times-Roman"/>
          <w:sz w:val="24"/>
          <w:szCs w:val="24"/>
        </w:rPr>
        <w:t>apresentarão</w:t>
      </w:r>
      <w:proofErr w:type="gramEnd"/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relatório final de horas trabalhadas, fazendo-se os ajustes necessários no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tocante aos montantes já recolhidos pelas partes.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24"/>
          <w:szCs w:val="24"/>
        </w:rPr>
      </w:pPr>
      <w:r w:rsidRPr="00CF1947">
        <w:rPr>
          <w:rFonts w:cs="Times-Bold"/>
          <w:b/>
          <w:bCs/>
          <w:sz w:val="24"/>
          <w:szCs w:val="24"/>
        </w:rPr>
        <w:t>Artigo 4º - Demais despesas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4.1. Além das custas e honorários acima previstos, as partes ratearão, de</w:t>
      </w:r>
      <w:r w:rsidR="00D47EDF">
        <w:rPr>
          <w:rFonts w:cs="Times-Roman"/>
          <w:sz w:val="24"/>
          <w:szCs w:val="24"/>
        </w:rPr>
        <w:t xml:space="preserve"> forma </w:t>
      </w:r>
      <w:r w:rsidRPr="00CF1947">
        <w:rPr>
          <w:rFonts w:cs="Times-Roman"/>
          <w:sz w:val="24"/>
          <w:szCs w:val="24"/>
        </w:rPr>
        <w:t xml:space="preserve">proporcional, as despesas necessárias ao andamento da arbitragem, como despesas incorridas pelos árbitros, honorários de peritos, gastos de viagens, gastos com diligências fora do local da arbitragem, realização </w:t>
      </w:r>
      <w:r w:rsidR="00D47EDF">
        <w:rPr>
          <w:rFonts w:cs="Times-Roman"/>
          <w:sz w:val="24"/>
          <w:szCs w:val="24"/>
        </w:rPr>
        <w:t xml:space="preserve">de audiências fora dos </w:t>
      </w:r>
      <w:proofErr w:type="gramStart"/>
      <w:r w:rsidR="00D47EDF">
        <w:rPr>
          <w:rFonts w:cs="Times-Roman"/>
          <w:sz w:val="24"/>
          <w:szCs w:val="24"/>
        </w:rPr>
        <w:t xml:space="preserve">horários </w:t>
      </w:r>
      <w:r w:rsidRPr="00CF1947">
        <w:rPr>
          <w:rFonts w:cs="Times-Roman"/>
          <w:sz w:val="24"/>
          <w:szCs w:val="24"/>
        </w:rPr>
        <w:t>normal de funcionamento da CAIEP</w:t>
      </w:r>
      <w:proofErr w:type="gramEnd"/>
      <w:r w:rsidRPr="00CF1947">
        <w:rPr>
          <w:rFonts w:cs="Times-Roman"/>
          <w:sz w:val="24"/>
          <w:szCs w:val="24"/>
        </w:rPr>
        <w:t xml:space="preserve"> ou em outra localidade, dentre outras.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4.2. No caso das despesas previstas acima, a CAIEP intimará as partes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 xml:space="preserve">para efetuar o depósito do montante correspondente no prazo de </w:t>
      </w:r>
      <w:proofErr w:type="gramStart"/>
      <w:r w:rsidRPr="00CF1947">
        <w:rPr>
          <w:rFonts w:cs="Times-Roman"/>
          <w:sz w:val="24"/>
          <w:szCs w:val="24"/>
        </w:rPr>
        <w:t>3</w:t>
      </w:r>
      <w:proofErr w:type="gramEnd"/>
      <w:r w:rsidRPr="00CF1947">
        <w:rPr>
          <w:rFonts w:cs="Times-Roman"/>
          <w:sz w:val="24"/>
          <w:szCs w:val="24"/>
        </w:rPr>
        <w:t xml:space="preserve"> (três)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dias.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lastRenderedPageBreak/>
        <w:t>4.3 Se uma das partes deixar de recolher a quantia</w:t>
      </w:r>
      <w:r w:rsidR="00D47EDF">
        <w:rPr>
          <w:rFonts w:cs="Times-Roman"/>
          <w:sz w:val="24"/>
          <w:szCs w:val="24"/>
        </w:rPr>
        <w:t xml:space="preserve"> que lhe couber, poderá a outra </w:t>
      </w:r>
      <w:r w:rsidRPr="00CF1947">
        <w:rPr>
          <w:rFonts w:cs="Times-Roman"/>
          <w:sz w:val="24"/>
          <w:szCs w:val="24"/>
        </w:rPr>
        <w:t>parte efetivar o depósito, a fim de permitir o prosseguimento do processo arbitral.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24"/>
          <w:szCs w:val="24"/>
        </w:rPr>
      </w:pPr>
      <w:r w:rsidRPr="00CF1947">
        <w:rPr>
          <w:rFonts w:cs="Times-Bold"/>
          <w:b/>
          <w:bCs/>
          <w:sz w:val="24"/>
          <w:szCs w:val="24"/>
        </w:rPr>
        <w:t>Artigo 5º - Disposições finais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 xml:space="preserve">5.1. Ao final do processo arbitral, a CAIEP fornecerá às </w:t>
      </w:r>
      <w:proofErr w:type="gramStart"/>
      <w:r w:rsidRPr="00CF1947">
        <w:rPr>
          <w:rFonts w:cs="Times-Roman"/>
          <w:sz w:val="24"/>
          <w:szCs w:val="24"/>
        </w:rPr>
        <w:t>partes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demonstrativo das custas, honorários</w:t>
      </w:r>
      <w:proofErr w:type="gramEnd"/>
      <w:r w:rsidRPr="00CF1947">
        <w:rPr>
          <w:rFonts w:cs="Times-Roman"/>
          <w:sz w:val="24"/>
          <w:szCs w:val="24"/>
        </w:rPr>
        <w:t xml:space="preserve"> e demais despesas, intimando as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partes para que efetuem eventuais depósito remanescentes. Existindo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crédito em favor das partes, a CAIEP efetuará os respectivos reembolsos.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 xml:space="preserve">5.2. Toda solicitação de </w:t>
      </w:r>
      <w:proofErr w:type="gramStart"/>
      <w:r w:rsidRPr="00CF1947">
        <w:rPr>
          <w:rFonts w:cs="Times-Roman"/>
          <w:sz w:val="24"/>
          <w:szCs w:val="24"/>
        </w:rPr>
        <w:t>depósito encaminhadas</w:t>
      </w:r>
      <w:proofErr w:type="gramEnd"/>
      <w:r w:rsidRPr="00CF1947">
        <w:rPr>
          <w:rFonts w:cs="Times-Roman"/>
          <w:sz w:val="24"/>
          <w:szCs w:val="24"/>
        </w:rPr>
        <w:t xml:space="preserve"> às partes deverá ser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acompanhada do demonstrativo específico da despesa.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proofErr w:type="gramStart"/>
      <w:r w:rsidRPr="00CF1947">
        <w:rPr>
          <w:rFonts w:cs="Times-Roman"/>
          <w:sz w:val="24"/>
          <w:szCs w:val="24"/>
        </w:rPr>
        <w:t>5.3.</w:t>
      </w:r>
      <w:proofErr w:type="gramEnd"/>
      <w:r w:rsidRPr="00CF1947">
        <w:rPr>
          <w:rFonts w:cs="Times-Roman"/>
          <w:sz w:val="24"/>
          <w:szCs w:val="24"/>
        </w:rPr>
        <w:t>O Tribunal Arbitral informará à CAIEP quanto ao disposto e</w:t>
      </w:r>
      <w:r w:rsidR="00D47EDF">
        <w:rPr>
          <w:rFonts w:cs="Times-Roman"/>
          <w:sz w:val="24"/>
          <w:szCs w:val="24"/>
        </w:rPr>
        <w:t xml:space="preserve"> determinado na </w:t>
      </w:r>
      <w:r w:rsidRPr="00CF1947">
        <w:rPr>
          <w:rFonts w:cs="Times-Roman"/>
          <w:sz w:val="24"/>
          <w:szCs w:val="24"/>
        </w:rPr>
        <w:t>sentença arbitral referente às custas, honorários e despesas para que a CAIEP adote, se for o caso, adotar as providências necessárias.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5.4. Na mediação, será devida somente a taxa de registro, competindo a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cada parte recolher a quantia integral correspondente, aplicando-se, com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relação aos honorários do mediador e despesas, o contido na presente</w:t>
      </w:r>
      <w:r w:rsidR="00D47EDF">
        <w:rPr>
          <w:rFonts w:cs="Times-Roman"/>
          <w:sz w:val="24"/>
          <w:szCs w:val="24"/>
        </w:rPr>
        <w:t xml:space="preserve"> </w:t>
      </w:r>
      <w:r w:rsidRPr="00CF1947">
        <w:rPr>
          <w:rFonts w:cs="Times-Roman"/>
          <w:sz w:val="24"/>
          <w:szCs w:val="24"/>
        </w:rPr>
        <w:t>Tabela de Custas.</w:t>
      </w:r>
    </w:p>
    <w:p w:rsidR="00BE79E8" w:rsidRPr="00CF1947" w:rsidRDefault="00BE79E8" w:rsidP="00CF1947">
      <w:pPr>
        <w:autoSpaceDE w:val="0"/>
        <w:autoSpaceDN w:val="0"/>
        <w:adjustRightInd w:val="0"/>
        <w:spacing w:after="0" w:line="360" w:lineRule="auto"/>
        <w:rPr>
          <w:rFonts w:cs="Times-Roman"/>
          <w:sz w:val="24"/>
          <w:szCs w:val="24"/>
        </w:rPr>
      </w:pPr>
      <w:r w:rsidRPr="00CF1947">
        <w:rPr>
          <w:rFonts w:cs="Times-Roman"/>
          <w:sz w:val="24"/>
          <w:szCs w:val="24"/>
        </w:rPr>
        <w:t>5.5. Esta Tabela de Custas e Honorários é par</w:t>
      </w:r>
      <w:r w:rsidR="00D47EDF">
        <w:rPr>
          <w:rFonts w:cs="Times-Roman"/>
          <w:sz w:val="24"/>
          <w:szCs w:val="24"/>
        </w:rPr>
        <w:t xml:space="preserve">te integrante do regulamento de </w:t>
      </w:r>
      <w:r w:rsidRPr="00CF1947">
        <w:rPr>
          <w:rFonts w:cs="Times-Roman"/>
          <w:sz w:val="24"/>
          <w:szCs w:val="24"/>
        </w:rPr>
        <w:t>mediação e arbitragem da CAIEP.</w:t>
      </w:r>
    </w:p>
    <w:sectPr w:rsidR="00BE79E8" w:rsidRPr="00CF1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E8"/>
    <w:rsid w:val="00B71B1E"/>
    <w:rsid w:val="00BE79E8"/>
    <w:rsid w:val="00CF1947"/>
    <w:rsid w:val="00D47EDF"/>
    <w:rsid w:val="00E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79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79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Daiany Perardt Lopes</dc:creator>
  <cp:lastModifiedBy>Adriane Sandrini Ferreira</cp:lastModifiedBy>
  <cp:revision>2</cp:revision>
  <dcterms:created xsi:type="dcterms:W3CDTF">2014-01-22T13:02:00Z</dcterms:created>
  <dcterms:modified xsi:type="dcterms:W3CDTF">2014-01-22T13:02:00Z</dcterms:modified>
</cp:coreProperties>
</file>